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41122EDF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DC43C5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6E546C75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</w:t>
      </w:r>
      <w:r w:rsidR="001437D9">
        <w:rPr>
          <w:rFonts w:ascii="Arial" w:hAnsi="Arial" w:cs="Arial"/>
        </w:rPr>
        <w:t xml:space="preserve"> et mesure de son impact sur l’environnement</w:t>
      </w:r>
      <w:r w:rsidR="00B0742C">
        <w:rPr>
          <w:rFonts w:ascii="Arial" w:hAnsi="Arial" w:cs="Arial"/>
        </w:rPr>
        <w:t xml:space="preserve"> </w:t>
      </w:r>
      <w:r w:rsidR="000A02A7" w:rsidRPr="0097758A">
        <w:rPr>
          <w:rFonts w:ascii="Arial" w:hAnsi="Arial" w:cs="Arial"/>
        </w:rPr>
        <w:t>?</w:t>
      </w:r>
    </w:p>
    <w:p w14:paraId="3D5AC106" w14:textId="77777777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bookmarkStart w:id="1" w:name="_Hlk210054204"/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2D0D9DD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bookmarkEnd w:id="1"/>
    <w:p w14:paraId="4C7257A1" w14:textId="188453EE" w:rsidR="001437D9" w:rsidRPr="001437D9" w:rsidRDefault="001437D9" w:rsidP="001437D9">
      <w:pPr>
        <w:pStyle w:val="Paragraphedeliste"/>
        <w:numPr>
          <w:ilvl w:val="0"/>
          <w:numId w:val="1"/>
        </w:numPr>
        <w:spacing w:before="120"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Indication du taux de mobiliers issus de matériaux recyclés et labels</w:t>
      </w:r>
    </w:p>
    <w:p w14:paraId="4C9951EA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D9EEAC7" w14:textId="77777777" w:rsidR="001437D9" w:rsidRPr="001437D9" w:rsidRDefault="001437D9" w:rsidP="001437D9">
      <w:pPr>
        <w:spacing w:before="120" w:after="0" w:line="240" w:lineRule="auto"/>
        <w:rPr>
          <w:rFonts w:ascii="Arial" w:hAnsi="Arial" w:cs="Arial"/>
          <w:i/>
          <w:iCs/>
        </w:rPr>
      </w:pPr>
      <w:r w:rsidRPr="001437D9">
        <w:rPr>
          <w:rFonts w:ascii="Arial" w:hAnsi="Arial" w:cs="Arial"/>
          <w:i/>
          <w:iCs/>
        </w:rPr>
        <w:t>Eléments de réponse </w:t>
      </w:r>
      <w:r w:rsidRPr="001437D9"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D145A8" wp14:editId="686A1146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95722564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666B29" w14:textId="77777777" w:rsidR="001437D9" w:rsidRPr="004D1931" w:rsidRDefault="001437D9" w:rsidP="001437D9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D145A8" id="_x0000_s1032" style="position:absolute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56666B29" w14:textId="77777777" w:rsidR="001437D9" w:rsidRPr="004D1931" w:rsidRDefault="001437D9" w:rsidP="001437D9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4A19DA6" w14:textId="77777777" w:rsidR="001437D9" w:rsidRPr="001437D9" w:rsidRDefault="001437D9" w:rsidP="001437D9">
      <w:pPr>
        <w:spacing w:before="120" w:after="0" w:line="240" w:lineRule="auto"/>
        <w:rPr>
          <w:rFonts w:ascii="Arial" w:hAnsi="Arial" w:cs="Arial"/>
          <w:i/>
          <w:iCs/>
        </w:rPr>
      </w:pPr>
      <w:r w:rsidRPr="001437D9">
        <w:rPr>
          <w:rFonts w:ascii="Arial" w:hAnsi="Arial" w:cs="Arial"/>
          <w:i/>
          <w:iCs/>
        </w:rPr>
        <w:t>Lien et page du document public </w:t>
      </w:r>
    </w:p>
    <w:p w14:paraId="6729BC79" w14:textId="77777777" w:rsidR="001437D9" w:rsidRPr="001437D9" w:rsidRDefault="001437D9" w:rsidP="001437D9">
      <w:pPr>
        <w:spacing w:before="120" w:after="0" w:line="240" w:lineRule="auto"/>
        <w:rPr>
          <w:rFonts w:ascii="Arial" w:hAnsi="Arial" w:cs="Arial"/>
          <w:i/>
          <w:iCs/>
        </w:rPr>
      </w:pPr>
    </w:p>
    <w:p w14:paraId="47305FA0" w14:textId="77777777" w:rsidR="001437D9" w:rsidRPr="001437D9" w:rsidRDefault="001437D9" w:rsidP="001437D9">
      <w:pPr>
        <w:spacing w:before="120" w:after="0" w:line="240" w:lineRule="auto"/>
        <w:rPr>
          <w:rFonts w:ascii="Arial" w:hAnsi="Arial" w:cs="Arial"/>
          <w:i/>
          <w:iCs/>
        </w:rPr>
      </w:pPr>
    </w:p>
    <w:p w14:paraId="5EF7550D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8C86773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4B582451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F19B408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77DFDFBC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3BBFDA6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E0615B2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2ED5D1FF" w14:textId="77777777" w:rsidR="001437D9" w:rsidRDefault="001437D9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3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4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bookmarkStart w:id="2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5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6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2"/>
    <w:p w14:paraId="72683209" w14:textId="746FA04A" w:rsidR="006A5E54" w:rsidRDefault="00AA2D45" w:rsidP="00AA2D4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A2D45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7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8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D9361" w14:textId="77777777" w:rsidR="0020046D" w:rsidRDefault="0020046D" w:rsidP="000F1494">
      <w:pPr>
        <w:spacing w:after="0" w:line="240" w:lineRule="auto"/>
      </w:pPr>
      <w:r>
        <w:separator/>
      </w:r>
    </w:p>
  </w:endnote>
  <w:endnote w:type="continuationSeparator" w:id="0">
    <w:p w14:paraId="31F78F30" w14:textId="77777777" w:rsidR="0020046D" w:rsidRDefault="0020046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963E" w14:textId="77777777" w:rsidR="0020046D" w:rsidRDefault="0020046D" w:rsidP="000F1494">
      <w:pPr>
        <w:spacing w:after="0" w:line="240" w:lineRule="auto"/>
      </w:pPr>
      <w:r>
        <w:separator/>
      </w:r>
    </w:p>
  </w:footnote>
  <w:footnote w:type="continuationSeparator" w:id="0">
    <w:p w14:paraId="225AABF5" w14:textId="77777777" w:rsidR="0020046D" w:rsidRDefault="0020046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4"/>
  </w:num>
  <w:num w:numId="10" w16cid:durableId="1893345797">
    <w:abstractNumId w:val="9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3"/>
  </w:num>
  <w:num w:numId="25" w16cid:durableId="1225020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2947"/>
    <w:rsid w:val="00035494"/>
    <w:rsid w:val="000505A0"/>
    <w:rsid w:val="00077697"/>
    <w:rsid w:val="00080A9D"/>
    <w:rsid w:val="000A02A7"/>
    <w:rsid w:val="000A2A20"/>
    <w:rsid w:val="000B724E"/>
    <w:rsid w:val="000E5C6C"/>
    <w:rsid w:val="000E5CA1"/>
    <w:rsid w:val="000F1494"/>
    <w:rsid w:val="001437D9"/>
    <w:rsid w:val="00152054"/>
    <w:rsid w:val="001566E3"/>
    <w:rsid w:val="00160A12"/>
    <w:rsid w:val="001B5B64"/>
    <w:rsid w:val="001D63F5"/>
    <w:rsid w:val="0020046D"/>
    <w:rsid w:val="00205F3A"/>
    <w:rsid w:val="00237056"/>
    <w:rsid w:val="00290EA4"/>
    <w:rsid w:val="00293ED2"/>
    <w:rsid w:val="002E7EEC"/>
    <w:rsid w:val="003034EB"/>
    <w:rsid w:val="0034179A"/>
    <w:rsid w:val="00342AE6"/>
    <w:rsid w:val="00362F77"/>
    <w:rsid w:val="00383DC5"/>
    <w:rsid w:val="003C22E7"/>
    <w:rsid w:val="003E2A44"/>
    <w:rsid w:val="004527DD"/>
    <w:rsid w:val="00470176"/>
    <w:rsid w:val="004834F2"/>
    <w:rsid w:val="00491274"/>
    <w:rsid w:val="004A2A9E"/>
    <w:rsid w:val="004C3778"/>
    <w:rsid w:val="004D302F"/>
    <w:rsid w:val="00537FBC"/>
    <w:rsid w:val="005937D8"/>
    <w:rsid w:val="005A217E"/>
    <w:rsid w:val="005B51D3"/>
    <w:rsid w:val="00623F8B"/>
    <w:rsid w:val="00631B83"/>
    <w:rsid w:val="0064541B"/>
    <w:rsid w:val="006467AF"/>
    <w:rsid w:val="00694AB6"/>
    <w:rsid w:val="006A5E54"/>
    <w:rsid w:val="006E7021"/>
    <w:rsid w:val="00763DDB"/>
    <w:rsid w:val="007F210D"/>
    <w:rsid w:val="0080392F"/>
    <w:rsid w:val="00861136"/>
    <w:rsid w:val="008637BA"/>
    <w:rsid w:val="00893723"/>
    <w:rsid w:val="00894015"/>
    <w:rsid w:val="008A18BB"/>
    <w:rsid w:val="008B7964"/>
    <w:rsid w:val="0097758A"/>
    <w:rsid w:val="009A684C"/>
    <w:rsid w:val="009D7EBB"/>
    <w:rsid w:val="009E764E"/>
    <w:rsid w:val="009F0FFD"/>
    <w:rsid w:val="009F2E7E"/>
    <w:rsid w:val="00A11E90"/>
    <w:rsid w:val="00A265B3"/>
    <w:rsid w:val="00A532E0"/>
    <w:rsid w:val="00A642A9"/>
    <w:rsid w:val="00A76EA5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35E1D"/>
    <w:rsid w:val="00B73FD1"/>
    <w:rsid w:val="00B96FD9"/>
    <w:rsid w:val="00BB1444"/>
    <w:rsid w:val="00BB482D"/>
    <w:rsid w:val="00BC068A"/>
    <w:rsid w:val="00C14B28"/>
    <w:rsid w:val="00C3387D"/>
    <w:rsid w:val="00CB335A"/>
    <w:rsid w:val="00CB384B"/>
    <w:rsid w:val="00CC14FE"/>
    <w:rsid w:val="00CC318A"/>
    <w:rsid w:val="00D377AD"/>
    <w:rsid w:val="00D61ED3"/>
    <w:rsid w:val="00D73805"/>
    <w:rsid w:val="00D9438D"/>
    <w:rsid w:val="00DC43C5"/>
    <w:rsid w:val="00DC5B21"/>
    <w:rsid w:val="00DD1D26"/>
    <w:rsid w:val="00E705F7"/>
    <w:rsid w:val="00E84D85"/>
    <w:rsid w:val="00E95D65"/>
    <w:rsid w:val="00E95DC6"/>
    <w:rsid w:val="00E97844"/>
    <w:rsid w:val="00EE2740"/>
    <w:rsid w:val="00F13354"/>
    <w:rsid w:val="00F27FE4"/>
    <w:rsid w:val="00F94751"/>
    <w:rsid w:val="00FC1EDD"/>
    <w:rsid w:val="00FC3B55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7D9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2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BB5368-D829-4D20-BBC6-3D7DCE70D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538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2</cp:revision>
  <dcterms:created xsi:type="dcterms:W3CDTF">2025-10-09T10:12:00Z</dcterms:created>
  <dcterms:modified xsi:type="dcterms:W3CDTF">2025-10-09T10:12:00Z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